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7CC6" w14:textId="77777777" w:rsidR="003A1E52" w:rsidRDefault="003A1E52" w:rsidP="001130A2">
      <w:pPr>
        <w:autoSpaceDE w:val="0"/>
        <w:autoSpaceDN w:val="0"/>
        <w:adjustRightInd w:val="0"/>
        <w:spacing w:after="400"/>
        <w:ind w:left="360"/>
        <w:jc w:val="center"/>
        <w:rPr>
          <w:rFonts w:cstheme="minorHAnsi"/>
          <w:b/>
          <w:bCs/>
          <w:color w:val="0C0C0C"/>
          <w:sz w:val="36"/>
          <w:szCs w:val="36"/>
          <w:u w:val="single"/>
          <w:lang w:val="en-GB"/>
        </w:rPr>
      </w:pPr>
    </w:p>
    <w:p w14:paraId="64CF525A" w14:textId="77777777" w:rsidR="007C1561" w:rsidRPr="00D90549" w:rsidRDefault="007C1561" w:rsidP="007C1561">
      <w:pPr>
        <w:tabs>
          <w:tab w:val="left" w:pos="220"/>
          <w:tab w:val="left" w:pos="720"/>
        </w:tabs>
        <w:autoSpaceDE w:val="0"/>
        <w:autoSpaceDN w:val="0"/>
        <w:adjustRightInd w:val="0"/>
        <w:rPr>
          <w:rFonts w:cstheme="minorHAnsi"/>
          <w:b/>
          <w:bCs/>
          <w:color w:val="0C0C0C"/>
          <w:lang w:val="en-GB"/>
        </w:rPr>
      </w:pPr>
      <w:r w:rsidRPr="00D90549">
        <w:rPr>
          <w:rFonts w:cstheme="minorHAnsi"/>
          <w:color w:val="0D0D0D"/>
          <w:shd w:val="clear" w:color="auto" w:fill="FFFFFF"/>
        </w:rPr>
        <w:t>Proper cash handling procedures are crucial for financial accountability, fraud prevention, transparency, compliance, and overall effective financial management in sporting clubs. These procedures contribute to the long-term sustainability and success of the organization.</w:t>
      </w:r>
    </w:p>
    <w:p w14:paraId="00972DE0" w14:textId="77777777" w:rsidR="007C1561" w:rsidRPr="00D90549" w:rsidRDefault="007C1561" w:rsidP="007C1561">
      <w:pPr>
        <w:tabs>
          <w:tab w:val="left" w:pos="220"/>
          <w:tab w:val="left" w:pos="720"/>
        </w:tabs>
        <w:autoSpaceDE w:val="0"/>
        <w:autoSpaceDN w:val="0"/>
        <w:adjustRightInd w:val="0"/>
        <w:rPr>
          <w:rFonts w:cstheme="minorHAnsi"/>
          <w:b/>
          <w:bCs/>
          <w:color w:val="0C0C0C"/>
          <w:lang w:val="en-GB"/>
        </w:rPr>
      </w:pPr>
    </w:p>
    <w:p w14:paraId="679B24C1" w14:textId="765F2E57" w:rsidR="00D90549" w:rsidRPr="00D90549" w:rsidRDefault="00D90549" w:rsidP="007C1561">
      <w:pPr>
        <w:tabs>
          <w:tab w:val="left" w:pos="220"/>
          <w:tab w:val="left" w:pos="720"/>
        </w:tabs>
        <w:autoSpaceDE w:val="0"/>
        <w:autoSpaceDN w:val="0"/>
        <w:adjustRightInd w:val="0"/>
        <w:rPr>
          <w:rFonts w:cstheme="minorHAnsi"/>
          <w:b/>
          <w:bCs/>
          <w:color w:val="0C0C0C"/>
          <w:sz w:val="28"/>
          <w:szCs w:val="28"/>
          <w:u w:val="single"/>
          <w:lang w:val="en-GB"/>
        </w:rPr>
      </w:pPr>
      <w:r w:rsidRPr="00D90549">
        <w:rPr>
          <w:rFonts w:cstheme="minorHAnsi"/>
          <w:b/>
          <w:bCs/>
          <w:color w:val="0C0C0C"/>
          <w:sz w:val="28"/>
          <w:szCs w:val="28"/>
          <w:u w:val="single"/>
          <w:lang w:val="en-GB"/>
        </w:rPr>
        <w:t>Cash Handling Procedures</w:t>
      </w:r>
    </w:p>
    <w:p w14:paraId="42C7A26C" w14:textId="45DDFF91"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Designated Cash Handlers:</w:t>
      </w:r>
    </w:p>
    <w:p w14:paraId="7FAEDDFA"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Assign specific individuals as cash handlers. Limit access to trusted personnel.</w:t>
      </w:r>
    </w:p>
    <w:p w14:paraId="7286B5D4"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34FA8984"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Cash Collection Points:</w:t>
      </w:r>
    </w:p>
    <w:p w14:paraId="0A7A5E67"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Clearly designate where cash transactions take place, such as ticket booths, merchandise stands, or concession areas.</w:t>
      </w:r>
    </w:p>
    <w:p w14:paraId="138459E8"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5779CD81"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Secure Cash Storage:</w:t>
      </w:r>
    </w:p>
    <w:p w14:paraId="76CDBEDA"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Use lockable cash boxes or safes to store cash securely during events.</w:t>
      </w:r>
    </w:p>
    <w:p w14:paraId="4E1FAE1A"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3066ED7E"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Regular Cash Counts:</w:t>
      </w:r>
    </w:p>
    <w:p w14:paraId="77B1D0A3"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Conduct regular cash counts during events to reconcile sales and identify discrepancies.</w:t>
      </w:r>
    </w:p>
    <w:p w14:paraId="7B9E038F"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77FB7903"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Two-Person Rule:</w:t>
      </w:r>
    </w:p>
    <w:p w14:paraId="055E4FDF"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Implement a two-person rule for cash counting to reduce the risk of errors or misconduct.</w:t>
      </w:r>
    </w:p>
    <w:p w14:paraId="0E2AC128"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1940D647"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Documentation:</w:t>
      </w:r>
    </w:p>
    <w:p w14:paraId="676924DA"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Issue receipts for all cash transactions. Maintain detailed records of transactions, including date, time, and amounts.</w:t>
      </w:r>
    </w:p>
    <w:p w14:paraId="47B7AED7"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6CBB3A4E"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Bank Deposits:</w:t>
      </w:r>
    </w:p>
    <w:p w14:paraId="65B8B81F"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Deposit cash into the bank promptly after events. Avoid keeping large amounts of cash on-site.</w:t>
      </w:r>
    </w:p>
    <w:p w14:paraId="7A7C6BC7"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123FAE6D"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Training:</w:t>
      </w:r>
    </w:p>
    <w:p w14:paraId="30134C43"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Train cash handlers on proper procedures, including counting, recording, and securing cash.</w:t>
      </w:r>
    </w:p>
    <w:p w14:paraId="6F6176CF"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0917E68D" w14:textId="663941CA" w:rsidR="007C1561" w:rsidRPr="00D90549" w:rsidRDefault="007C1561" w:rsidP="00D90549">
      <w:pPr>
        <w:autoSpaceDE w:val="0"/>
        <w:autoSpaceDN w:val="0"/>
        <w:adjustRightInd w:val="0"/>
        <w:rPr>
          <w:rFonts w:cstheme="minorHAnsi"/>
          <w:color w:val="0C0C0C"/>
          <w:sz w:val="28"/>
          <w:szCs w:val="28"/>
          <w:u w:val="single"/>
          <w:lang w:val="en-GB"/>
        </w:rPr>
      </w:pPr>
      <w:r w:rsidRPr="00D90549">
        <w:rPr>
          <w:rFonts w:cstheme="minorHAnsi"/>
          <w:b/>
          <w:bCs/>
          <w:color w:val="0C0C0C"/>
          <w:sz w:val="28"/>
          <w:szCs w:val="28"/>
          <w:u w:val="single"/>
          <w:lang w:val="en-GB"/>
        </w:rPr>
        <w:t>EFTPOS Handling Procedures</w:t>
      </w:r>
    </w:p>
    <w:p w14:paraId="74F472BB"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Designated EFTPOS Operators:</w:t>
      </w:r>
    </w:p>
    <w:p w14:paraId="60E26306"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Assign specific individuals to handle EFTPOS transactions. Ensure they are trained on the equipment and security measures.</w:t>
      </w:r>
    </w:p>
    <w:p w14:paraId="67FDB704"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0B630C7E"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Equipment Maintenance:</w:t>
      </w:r>
    </w:p>
    <w:p w14:paraId="71E2F0CC"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Regularly maintain and test EFTPOS machines to ensure they are functioning correctly.</w:t>
      </w:r>
    </w:p>
    <w:p w14:paraId="2A3CB6B3"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7639BCC7"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Transaction Authorization:</w:t>
      </w:r>
    </w:p>
    <w:p w14:paraId="200C10A3"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Ensure that all EFTPOS transactions are authorized before completing the sale.</w:t>
      </w:r>
    </w:p>
    <w:p w14:paraId="09E6F7E3"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7CC07B8E"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Receipts:</w:t>
      </w:r>
    </w:p>
    <w:p w14:paraId="7F50EA59" w14:textId="3436A17A" w:rsidR="007C1561" w:rsidRPr="00D90549" w:rsidRDefault="00D90549" w:rsidP="00D90549">
      <w:pPr>
        <w:pStyle w:val="ListParagraph"/>
        <w:tabs>
          <w:tab w:val="left" w:pos="940"/>
          <w:tab w:val="left" w:pos="1440"/>
        </w:tabs>
        <w:autoSpaceDE w:val="0"/>
        <w:autoSpaceDN w:val="0"/>
        <w:adjustRightInd w:val="0"/>
        <w:ind w:left="360"/>
        <w:rPr>
          <w:rFonts w:cstheme="minorHAnsi"/>
          <w:color w:val="0C0C0C"/>
          <w:lang w:val="en-GB"/>
        </w:rPr>
      </w:pPr>
      <w:r>
        <w:rPr>
          <w:rFonts w:cstheme="minorHAnsi"/>
          <w:color w:val="0C0C0C"/>
          <w:lang w:val="en-GB"/>
        </w:rPr>
        <w:t>P</w:t>
      </w:r>
      <w:r w:rsidR="007C1561" w:rsidRPr="00D90549">
        <w:rPr>
          <w:rFonts w:cstheme="minorHAnsi"/>
          <w:color w:val="0C0C0C"/>
          <w:lang w:val="en-GB"/>
        </w:rPr>
        <w:t>rovide customers with printed or electronic receipts for EFTPOS transactions.</w:t>
      </w:r>
    </w:p>
    <w:p w14:paraId="5E3B4A99"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06CB1E19" w14:textId="77777777" w:rsidR="00D90549" w:rsidRDefault="00D90549" w:rsidP="007C1561">
      <w:pPr>
        <w:tabs>
          <w:tab w:val="left" w:pos="220"/>
          <w:tab w:val="left" w:pos="720"/>
        </w:tabs>
        <w:autoSpaceDE w:val="0"/>
        <w:autoSpaceDN w:val="0"/>
        <w:adjustRightInd w:val="0"/>
        <w:rPr>
          <w:rFonts w:cstheme="minorHAnsi"/>
          <w:b/>
          <w:bCs/>
          <w:color w:val="0C0C0C"/>
          <w:lang w:val="en-GB"/>
        </w:rPr>
      </w:pPr>
    </w:p>
    <w:p w14:paraId="0C35684F" w14:textId="77777777" w:rsidR="00D90549" w:rsidRDefault="00D90549" w:rsidP="007C1561">
      <w:pPr>
        <w:tabs>
          <w:tab w:val="left" w:pos="220"/>
          <w:tab w:val="left" w:pos="720"/>
        </w:tabs>
        <w:autoSpaceDE w:val="0"/>
        <w:autoSpaceDN w:val="0"/>
        <w:adjustRightInd w:val="0"/>
        <w:rPr>
          <w:rFonts w:cstheme="minorHAnsi"/>
          <w:b/>
          <w:bCs/>
          <w:color w:val="0C0C0C"/>
          <w:lang w:val="en-GB"/>
        </w:rPr>
      </w:pPr>
    </w:p>
    <w:p w14:paraId="324D443D" w14:textId="77777777" w:rsidR="00D90549" w:rsidRDefault="00D90549" w:rsidP="007C1561">
      <w:pPr>
        <w:tabs>
          <w:tab w:val="left" w:pos="220"/>
          <w:tab w:val="left" w:pos="720"/>
        </w:tabs>
        <w:autoSpaceDE w:val="0"/>
        <w:autoSpaceDN w:val="0"/>
        <w:adjustRightInd w:val="0"/>
        <w:rPr>
          <w:rFonts w:cstheme="minorHAnsi"/>
          <w:b/>
          <w:bCs/>
          <w:color w:val="0C0C0C"/>
          <w:lang w:val="en-GB"/>
        </w:rPr>
      </w:pPr>
    </w:p>
    <w:p w14:paraId="23A9A993" w14:textId="77EF4C41"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Secure PIN Entry:</w:t>
      </w:r>
    </w:p>
    <w:p w14:paraId="3EDB25A6"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Train staff to discreetly handle PIN entry and encourage customers to shield their PINs during transactions.</w:t>
      </w:r>
    </w:p>
    <w:p w14:paraId="78402273"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4F768B1D"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Refund Procedures:</w:t>
      </w:r>
    </w:p>
    <w:p w14:paraId="11C3C2C3"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Establish clear procedures for handling refunds through EFTPOS and ensure they comply with payment processor guidelines.</w:t>
      </w:r>
    </w:p>
    <w:p w14:paraId="1E13638C"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68DEA7E1"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Reconciliation:</w:t>
      </w:r>
    </w:p>
    <w:p w14:paraId="40DB6184"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Regularly reconcile EFTPOS transactions with bank statements to identify any discrepancies.</w:t>
      </w:r>
    </w:p>
    <w:p w14:paraId="3B38EBAE"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11B64D2D"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Security Measures:</w:t>
      </w:r>
    </w:p>
    <w:p w14:paraId="19BB7E75"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Implement security measures to protect against fraud, such as monitoring for unusual transaction patterns and safeguarding customer information.</w:t>
      </w:r>
    </w:p>
    <w:p w14:paraId="48EF1071"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165692E6" w14:textId="16E71D71" w:rsidR="007C1561" w:rsidRPr="00D90549" w:rsidRDefault="007C1561" w:rsidP="00D90549">
      <w:pPr>
        <w:autoSpaceDE w:val="0"/>
        <w:autoSpaceDN w:val="0"/>
        <w:adjustRightInd w:val="0"/>
        <w:rPr>
          <w:rFonts w:cstheme="minorHAnsi"/>
          <w:color w:val="0C0C0C"/>
          <w:sz w:val="28"/>
          <w:szCs w:val="28"/>
          <w:u w:val="single"/>
          <w:lang w:val="en-GB"/>
        </w:rPr>
      </w:pPr>
      <w:r w:rsidRPr="00D90549">
        <w:rPr>
          <w:rFonts w:cstheme="minorHAnsi"/>
          <w:b/>
          <w:bCs/>
          <w:color w:val="0C0C0C"/>
          <w:sz w:val="28"/>
          <w:szCs w:val="28"/>
          <w:u w:val="single"/>
          <w:lang w:val="en-GB"/>
        </w:rPr>
        <w:t>General Tips</w:t>
      </w:r>
    </w:p>
    <w:p w14:paraId="124E3ED9"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Recordkeeping:</w:t>
      </w:r>
    </w:p>
    <w:p w14:paraId="5ECDD4A3"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Maintain detailed records of all transactions, whether cash or electronic, for auditing purposes.</w:t>
      </w:r>
    </w:p>
    <w:p w14:paraId="196347D6"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10C78F52"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Audit Trails:</w:t>
      </w:r>
    </w:p>
    <w:p w14:paraId="52D20791"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Establish audit trails for cash and EFTPOS transactions to trace any irregularities back to their source.</w:t>
      </w:r>
    </w:p>
    <w:p w14:paraId="5E792A27"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69530A42"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Communication:</w:t>
      </w:r>
    </w:p>
    <w:p w14:paraId="4D4A75F8"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Communicate procedures clearly to all staff involved in handling cash and EFTPOS transactions.</w:t>
      </w:r>
    </w:p>
    <w:p w14:paraId="3C9C9BDD"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5F142EEC" w14:textId="77777777" w:rsidR="007C1561" w:rsidRPr="00D90549" w:rsidRDefault="007C1561" w:rsidP="007C1561">
      <w:pPr>
        <w:tabs>
          <w:tab w:val="left" w:pos="220"/>
          <w:tab w:val="left" w:pos="720"/>
        </w:tabs>
        <w:autoSpaceDE w:val="0"/>
        <w:autoSpaceDN w:val="0"/>
        <w:adjustRightInd w:val="0"/>
        <w:rPr>
          <w:rFonts w:cstheme="minorHAnsi"/>
          <w:color w:val="0C0C0C"/>
          <w:lang w:val="en-GB"/>
        </w:rPr>
      </w:pPr>
      <w:r w:rsidRPr="00D90549">
        <w:rPr>
          <w:rFonts w:cstheme="minorHAnsi"/>
          <w:b/>
          <w:bCs/>
          <w:color w:val="0C0C0C"/>
          <w:lang w:val="en-GB"/>
        </w:rPr>
        <w:t>Regular Training:</w:t>
      </w:r>
    </w:p>
    <w:p w14:paraId="2458F212" w14:textId="77777777" w:rsidR="007C1561" w:rsidRPr="00D90549" w:rsidRDefault="007C1561" w:rsidP="00D90549">
      <w:pPr>
        <w:pStyle w:val="ListParagraph"/>
        <w:tabs>
          <w:tab w:val="left" w:pos="940"/>
          <w:tab w:val="left" w:pos="1440"/>
        </w:tabs>
        <w:autoSpaceDE w:val="0"/>
        <w:autoSpaceDN w:val="0"/>
        <w:adjustRightInd w:val="0"/>
        <w:ind w:left="360"/>
        <w:rPr>
          <w:rFonts w:cstheme="minorHAnsi"/>
          <w:color w:val="0C0C0C"/>
          <w:lang w:val="en-GB"/>
        </w:rPr>
      </w:pPr>
      <w:r w:rsidRPr="00D90549">
        <w:rPr>
          <w:rFonts w:cstheme="minorHAnsi"/>
          <w:color w:val="0C0C0C"/>
          <w:lang w:val="en-GB"/>
        </w:rPr>
        <w:t>Conduct regular training sessions to update staff on any changes in procedures or technology.</w:t>
      </w:r>
    </w:p>
    <w:p w14:paraId="034B6A52" w14:textId="77777777" w:rsidR="007C1561" w:rsidRPr="00D90549" w:rsidRDefault="007C1561" w:rsidP="007C1561">
      <w:pPr>
        <w:tabs>
          <w:tab w:val="left" w:pos="940"/>
          <w:tab w:val="left" w:pos="1440"/>
        </w:tabs>
        <w:autoSpaceDE w:val="0"/>
        <w:autoSpaceDN w:val="0"/>
        <w:adjustRightInd w:val="0"/>
        <w:rPr>
          <w:rFonts w:cstheme="minorHAnsi"/>
          <w:color w:val="0C0C0C"/>
          <w:lang w:val="en-GB"/>
        </w:rPr>
      </w:pPr>
    </w:p>
    <w:p w14:paraId="7F3A6DBA" w14:textId="77777777" w:rsidR="007C1561" w:rsidRPr="00D90549" w:rsidRDefault="007C1561" w:rsidP="007C1561">
      <w:pPr>
        <w:autoSpaceDE w:val="0"/>
        <w:autoSpaceDN w:val="0"/>
        <w:adjustRightInd w:val="0"/>
        <w:rPr>
          <w:rFonts w:cstheme="minorHAnsi"/>
          <w:color w:val="0C0C0C"/>
          <w:lang w:val="en-GB"/>
        </w:rPr>
      </w:pPr>
      <w:r w:rsidRPr="00D90549">
        <w:rPr>
          <w:rFonts w:cstheme="minorHAnsi"/>
          <w:color w:val="0C0C0C"/>
          <w:lang w:val="en-GB"/>
        </w:rPr>
        <w:t>By implementing these procedures, you can help ensure the smooth and secure handling of both cash and EFTPOS transactions for your rugby club. Regular reviews and updates to these procedures may be necessary to adapt to changing circumstances or technologies.</w:t>
      </w:r>
    </w:p>
    <w:p w14:paraId="6BA7263A" w14:textId="77777777" w:rsidR="00146C2B" w:rsidRPr="00D90549" w:rsidRDefault="00146C2B" w:rsidP="007C1561">
      <w:pPr>
        <w:autoSpaceDE w:val="0"/>
        <w:autoSpaceDN w:val="0"/>
        <w:adjustRightInd w:val="0"/>
        <w:spacing w:after="400"/>
        <w:rPr>
          <w:rFonts w:cstheme="minorHAnsi"/>
        </w:rPr>
      </w:pPr>
    </w:p>
    <w:sectPr w:rsidR="00146C2B" w:rsidRPr="00D90549" w:rsidSect="007D306F">
      <w:headerReference w:type="default" r:id="rId10"/>
      <w:pgSz w:w="12240" w:h="15840"/>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343E" w14:textId="77777777" w:rsidR="00822C05" w:rsidRDefault="00822C05" w:rsidP="003A1E52">
      <w:r>
        <w:separator/>
      </w:r>
    </w:p>
  </w:endnote>
  <w:endnote w:type="continuationSeparator" w:id="0">
    <w:p w14:paraId="73A1CABB" w14:textId="77777777" w:rsidR="00822C05" w:rsidRDefault="00822C05" w:rsidP="003A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41D9" w14:textId="77777777" w:rsidR="00822C05" w:rsidRDefault="00822C05" w:rsidP="003A1E52">
      <w:r>
        <w:separator/>
      </w:r>
    </w:p>
  </w:footnote>
  <w:footnote w:type="continuationSeparator" w:id="0">
    <w:p w14:paraId="336F6B05" w14:textId="77777777" w:rsidR="00822C05" w:rsidRDefault="00822C05" w:rsidP="003A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041" w14:textId="1194AB44" w:rsidR="003A1E52" w:rsidRDefault="003A1E52">
    <w:pPr>
      <w:pStyle w:val="Header"/>
    </w:pPr>
    <w:r>
      <w:rPr>
        <w:noProof/>
      </w:rPr>
      <w:drawing>
        <wp:anchor distT="0" distB="0" distL="114300" distR="114300" simplePos="0" relativeHeight="251660288" behindDoc="0" locked="0" layoutInCell="1" allowOverlap="1" wp14:anchorId="29871E67" wp14:editId="6E88CE0D">
          <wp:simplePos x="0" y="0"/>
          <wp:positionH relativeFrom="margin">
            <wp:align>left</wp:align>
          </wp:positionH>
          <wp:positionV relativeFrom="paragraph">
            <wp:posOffset>-253760</wp:posOffset>
          </wp:positionV>
          <wp:extent cx="1085155" cy="453390"/>
          <wp:effectExtent l="0" t="0" r="1270" b="3810"/>
          <wp:wrapNone/>
          <wp:docPr id="1035199469" name="Picture 4"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99469" name="Picture 4"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155" cy="453390"/>
                  </a:xfrm>
                  <a:prstGeom prst="rect">
                    <a:avLst/>
                  </a:prstGeom>
                </pic:spPr>
              </pic:pic>
            </a:graphicData>
          </a:graphic>
          <wp14:sizeRelH relativeFrom="page">
            <wp14:pctWidth>0</wp14:pctWidth>
          </wp14:sizeRelH>
          <wp14:sizeRelV relativeFrom="page">
            <wp14:pctHeight>0</wp14:pctHeight>
          </wp14:sizeRelV>
        </wp:anchor>
      </w:drawing>
    </w:r>
    <w:r w:rsidRPr="0032187F">
      <w:rPr>
        <w:noProof/>
      </w:rPr>
      <mc:AlternateContent>
        <mc:Choice Requires="wps">
          <w:drawing>
            <wp:anchor distT="0" distB="0" distL="114300" distR="114300" simplePos="0" relativeHeight="251659264" behindDoc="0" locked="0" layoutInCell="1" allowOverlap="1" wp14:anchorId="2EF01519" wp14:editId="66148963">
              <wp:simplePos x="0" y="0"/>
              <wp:positionH relativeFrom="page">
                <wp:align>right</wp:align>
              </wp:positionH>
              <wp:positionV relativeFrom="paragraph">
                <wp:posOffset>-457200</wp:posOffset>
              </wp:positionV>
              <wp:extent cx="7766050" cy="901700"/>
              <wp:effectExtent l="0" t="0" r="6350" b="0"/>
              <wp:wrapNone/>
              <wp:docPr id="4" name="Rectangle 3">
                <a:extLst xmlns:a="http://schemas.openxmlformats.org/drawingml/2006/main">
                  <a:ext uri="{FF2B5EF4-FFF2-40B4-BE49-F238E27FC236}">
                    <a16:creationId xmlns:a16="http://schemas.microsoft.com/office/drawing/2014/main" id="{A27C5583-04D5-31E0-E6CF-CCBA33D93D30}"/>
                  </a:ext>
                </a:extLst>
              </wp:docPr>
              <wp:cNvGraphicFramePr/>
              <a:graphic xmlns:a="http://schemas.openxmlformats.org/drawingml/2006/main">
                <a:graphicData uri="http://schemas.microsoft.com/office/word/2010/wordprocessingShape">
                  <wps:wsp>
                    <wps:cNvSpPr/>
                    <wps:spPr>
                      <a:xfrm>
                        <a:off x="0" y="0"/>
                        <a:ext cx="7766050" cy="901700"/>
                      </a:xfrm>
                      <a:prstGeom prst="rect">
                        <a:avLst/>
                      </a:prstGeom>
                      <a:gradFill flip="none" rotWithShape="1">
                        <a:gsLst>
                          <a:gs pos="0">
                            <a:srgbClr val="4AFFBB">
                              <a:tint val="66000"/>
                              <a:satMod val="160000"/>
                            </a:srgbClr>
                          </a:gs>
                          <a:gs pos="50000">
                            <a:srgbClr val="4AFFBB">
                              <a:tint val="44500"/>
                              <a:satMod val="160000"/>
                            </a:srgbClr>
                          </a:gs>
                          <a:gs pos="100000">
                            <a:srgbClr val="4AFFBB">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4BB34" w14:textId="77ED5094" w:rsidR="003A1E52" w:rsidRPr="003A1E52" w:rsidRDefault="007C1561" w:rsidP="003A1E52">
                          <w:pPr>
                            <w:jc w:val="center"/>
                            <w:rPr>
                              <w:rFonts w:ascii="Calibri" w:eastAsia="Calibri" w:hAnsi="Calibri"/>
                              <w:b/>
                              <w:bCs/>
                              <w:color w:val="002060"/>
                              <w:kern w:val="24"/>
                              <w:sz w:val="40"/>
                              <w:szCs w:val="40"/>
                              <w:lang w:val="en-US"/>
                            </w:rPr>
                          </w:pPr>
                          <w:r>
                            <w:rPr>
                              <w:rFonts w:ascii="Calibri" w:eastAsia="Calibri" w:hAnsi="Calibri"/>
                              <w:b/>
                              <w:bCs/>
                              <w:color w:val="002060"/>
                              <w:kern w:val="24"/>
                              <w:sz w:val="40"/>
                              <w:szCs w:val="40"/>
                              <w:lang w:val="en-US"/>
                            </w:rPr>
                            <w:t>CASH</w:t>
                          </w:r>
                          <w:r w:rsidR="00D90549">
                            <w:rPr>
                              <w:rFonts w:ascii="Calibri" w:eastAsia="Calibri" w:hAnsi="Calibri"/>
                              <w:b/>
                              <w:bCs/>
                              <w:color w:val="002060"/>
                              <w:kern w:val="24"/>
                              <w:sz w:val="40"/>
                              <w:szCs w:val="40"/>
                              <w:lang w:val="en-US"/>
                            </w:rPr>
                            <w:t xml:space="preserve">/EFTPOS </w:t>
                          </w:r>
                          <w:r>
                            <w:rPr>
                              <w:rFonts w:ascii="Calibri" w:eastAsia="Calibri" w:hAnsi="Calibri"/>
                              <w:b/>
                              <w:bCs/>
                              <w:color w:val="002060"/>
                              <w:kern w:val="24"/>
                              <w:sz w:val="40"/>
                              <w:szCs w:val="40"/>
                              <w:lang w:val="en-US"/>
                            </w:rPr>
                            <w:t>HANDLING PROCEDURES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EF01519" id="Rectangle 3" o:spid="_x0000_s1026" style="position:absolute;margin-left:560.3pt;margin-top:-36pt;width:611.5pt;height:7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PRbQIAAMsFAAAOAAAAZHJzL2Uyb0RvYy54bWysVE1v2zAMvQ/YfxB8X+xkabIFcYp+ILts&#10;a9Fu2FmRpViALHoSEyf/fpTkOMVW7KPYRZYp8pF8T+Ly8tAYtpfOa7BlNh4VGZNWQKXttsy+flm/&#10;eZcxj9xW3ICVZXaUPrtcvX617NqFnEANppKOEYj1i64tsxqxXeS5F7VsuB9BKy0dKnANR/p127xy&#10;vCP0xuSTopjlHbiqdSCk92S9TYfZKuIrJQXeKeUlMlNmVBvG1cV1E9Z8teSLreNtrUVfBn9BFQ3X&#10;lpIOULccOds5/QtUo4UDDwpHApoclNJCxh6om3HxUzePNW9l7IXI8e1Ak/9/sOLz/rG9d0RD1/qF&#10;p23o4qBcE75UHztEso4DWfKATJBxPp/NigviVNDZ+2I8LyKb+Tm6dR4/SGhY2JSZIzEiR3z/0SNl&#10;JNeTS09dtdbGMGU03QRL9yVjDvCbxjoyQfcrcewpPkZ41gKRUUSzd9vNjXFsz0nr6dV6fX0d7agt&#10;JiMVnIrkC8/xE1TJPA7mU/E9Sqxu659muYhewfLnTNMpeafL9YJM45Dpb5uavP33VMT89kSi0Zbx&#10;8FpJSi+4kVXgOb4L1EY+kGpJK3olUZ/AgLFhtRD0SqfBkp/vUNzh0cjk/SAV0xXdmkmSKjxvOYjF&#10;hZAWk7i+5pVMuiTCE3wcCCEiCmMsAQZkRfkH7B7geewE0/uHUBmnwxDc0/274CEiZgaLQ3CjLbjn&#10;OjPUVZ85+Z9IStQElvCwOZBL2G6gOt471tE4KjP/fcddeAFobiBNL25FDTS8BKZkFq52CEpHgc4A&#10;fQ6aGJGsfrqFkfT0P3qdZ/DqBwAAAP//AwBQSwMEFAAGAAgAAAAhAEv98KHcAAAACAEAAA8AAABk&#10;cnMvZG93bnJldi54bWxMj81uwjAQhO+V+g7WVuoNbELVoBAHVaicemnpz9nESxIRr63YQPL2XU7t&#10;bVYzmv2m3IyuFxccYudJw2KuQCDV3nbUaPj63M1WIGIyZE3vCTVMGGFT3d+VprD+Sh942adGcAnF&#10;wmhoUwqFlLFu0Zk49wGJvaMfnEl8Do20g7lyuetlptSzdKYj/tCagNsW69P+7DQ00xbzsFqGp2OL&#10;r2/0s5sW799aPz6ML2sQCcf0F4YbPqNDxUwHfyYbRa+BhyQNszxjcbOzbMnqoCFXCmRVyv8Dql8A&#10;AAD//wMAUEsBAi0AFAAGAAgAAAAhALaDOJL+AAAA4QEAABMAAAAAAAAAAAAAAAAAAAAAAFtDb250&#10;ZW50X1R5cGVzXS54bWxQSwECLQAUAAYACAAAACEAOP0h/9YAAACUAQAACwAAAAAAAAAAAAAAAAAv&#10;AQAAX3JlbHMvLnJlbHNQSwECLQAUAAYACAAAACEA8cUz0W0CAADLBQAADgAAAAAAAAAAAAAAAAAu&#10;AgAAZHJzL2Uyb0RvYy54bWxQSwECLQAUAAYACAAAACEAS/3wodwAAAAIAQAADwAAAAAAAAAAAAAA&#10;AADHBAAAZHJzL2Rvd25yZXYueG1sUEsFBgAAAAAEAAQA8wAAANAFAAAAAA==&#10;" fillcolor="#8cffd7" stroked="f" strokeweight="1pt">
              <v:fill color2="#ddfff1" rotate="t" angle="90" colors="0 #8cffd7;.5 #b9ffe4;1 #ddfff1" focus="100%" type="gradient"/>
              <v:textbox>
                <w:txbxContent>
                  <w:p w14:paraId="3AB4BB34" w14:textId="77ED5094" w:rsidR="003A1E52" w:rsidRPr="003A1E52" w:rsidRDefault="007C1561" w:rsidP="003A1E52">
                    <w:pPr>
                      <w:jc w:val="center"/>
                      <w:rPr>
                        <w:rFonts w:ascii="Calibri" w:eastAsia="Calibri" w:hAnsi="Calibri"/>
                        <w:b/>
                        <w:bCs/>
                        <w:color w:val="002060"/>
                        <w:kern w:val="24"/>
                        <w:sz w:val="40"/>
                        <w:szCs w:val="40"/>
                        <w:lang w:val="en-US"/>
                      </w:rPr>
                    </w:pPr>
                    <w:r>
                      <w:rPr>
                        <w:rFonts w:ascii="Calibri" w:eastAsia="Calibri" w:hAnsi="Calibri"/>
                        <w:b/>
                        <w:bCs/>
                        <w:color w:val="002060"/>
                        <w:kern w:val="24"/>
                        <w:sz w:val="40"/>
                        <w:szCs w:val="40"/>
                        <w:lang w:val="en-US"/>
                      </w:rPr>
                      <w:t>CASH</w:t>
                    </w:r>
                    <w:r w:rsidR="00D90549">
                      <w:rPr>
                        <w:rFonts w:ascii="Calibri" w:eastAsia="Calibri" w:hAnsi="Calibri"/>
                        <w:b/>
                        <w:bCs/>
                        <w:color w:val="002060"/>
                        <w:kern w:val="24"/>
                        <w:sz w:val="40"/>
                        <w:szCs w:val="40"/>
                        <w:lang w:val="en-US"/>
                      </w:rPr>
                      <w:t xml:space="preserve">/EFTPOS </w:t>
                    </w:r>
                    <w:r>
                      <w:rPr>
                        <w:rFonts w:ascii="Calibri" w:eastAsia="Calibri" w:hAnsi="Calibri"/>
                        <w:b/>
                        <w:bCs/>
                        <w:color w:val="002060"/>
                        <w:kern w:val="24"/>
                        <w:sz w:val="40"/>
                        <w:szCs w:val="40"/>
                        <w:lang w:val="en-US"/>
                      </w:rPr>
                      <w:t>HANDLING PROCEDURES</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6D023B"/>
    <w:multiLevelType w:val="hybridMultilevel"/>
    <w:tmpl w:val="9D765B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2CC6C28"/>
    <w:multiLevelType w:val="hybridMultilevel"/>
    <w:tmpl w:val="DBEA259A"/>
    <w:lvl w:ilvl="0" w:tplc="3CFE4224">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471B40"/>
    <w:multiLevelType w:val="hybridMultilevel"/>
    <w:tmpl w:val="35184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A84440"/>
    <w:multiLevelType w:val="multilevel"/>
    <w:tmpl w:val="29CCC2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71E0E70"/>
    <w:multiLevelType w:val="hybridMultilevel"/>
    <w:tmpl w:val="F8D0C6F4"/>
    <w:lvl w:ilvl="0" w:tplc="2C9485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A25BFA"/>
    <w:multiLevelType w:val="hybridMultilevel"/>
    <w:tmpl w:val="220A6252"/>
    <w:lvl w:ilvl="0" w:tplc="9BA82134">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D5030D"/>
    <w:multiLevelType w:val="hybridMultilevel"/>
    <w:tmpl w:val="47D2B956"/>
    <w:lvl w:ilvl="0" w:tplc="8A869C8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B763E80"/>
    <w:multiLevelType w:val="hybridMultilevel"/>
    <w:tmpl w:val="47D2B956"/>
    <w:lvl w:ilvl="0" w:tplc="FFFFFFF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2418450">
    <w:abstractNumId w:val="0"/>
  </w:num>
  <w:num w:numId="2" w16cid:durableId="1099184375">
    <w:abstractNumId w:val="8"/>
  </w:num>
  <w:num w:numId="3" w16cid:durableId="1736271051">
    <w:abstractNumId w:val="5"/>
  </w:num>
  <w:num w:numId="4" w16cid:durableId="2044867417">
    <w:abstractNumId w:val="9"/>
  </w:num>
  <w:num w:numId="5" w16cid:durableId="861362685">
    <w:abstractNumId w:val="6"/>
  </w:num>
  <w:num w:numId="6" w16cid:durableId="504712858">
    <w:abstractNumId w:val="2"/>
  </w:num>
  <w:num w:numId="7" w16cid:durableId="441844414">
    <w:abstractNumId w:val="1"/>
  </w:num>
  <w:num w:numId="8" w16cid:durableId="766778717">
    <w:abstractNumId w:val="3"/>
  </w:num>
  <w:num w:numId="9" w16cid:durableId="337926194">
    <w:abstractNumId w:val="7"/>
  </w:num>
  <w:num w:numId="10" w16cid:durableId="325137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D2"/>
    <w:rsid w:val="000D30B1"/>
    <w:rsid w:val="001130A2"/>
    <w:rsid w:val="00146C2B"/>
    <w:rsid w:val="00172CBE"/>
    <w:rsid w:val="00214017"/>
    <w:rsid w:val="003A1E52"/>
    <w:rsid w:val="006550C4"/>
    <w:rsid w:val="007C1561"/>
    <w:rsid w:val="007D306F"/>
    <w:rsid w:val="00822C05"/>
    <w:rsid w:val="00AC5138"/>
    <w:rsid w:val="00BA19D2"/>
    <w:rsid w:val="00D90549"/>
    <w:rsid w:val="00E467B2"/>
    <w:rsid w:val="00F33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4552"/>
  <w15:chartTrackingRefBased/>
  <w15:docId w15:val="{2C0FD246-AB0A-7A42-BEAF-D9D0D102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9D2"/>
    <w:pPr>
      <w:ind w:left="720"/>
      <w:contextualSpacing/>
    </w:pPr>
  </w:style>
  <w:style w:type="character" w:styleId="Hyperlink">
    <w:name w:val="Hyperlink"/>
    <w:basedOn w:val="DefaultParagraphFont"/>
    <w:uiPriority w:val="99"/>
    <w:unhideWhenUsed/>
    <w:rsid w:val="006550C4"/>
    <w:rPr>
      <w:color w:val="0563C1" w:themeColor="hyperlink"/>
      <w:u w:val="single"/>
    </w:rPr>
  </w:style>
  <w:style w:type="character" w:styleId="UnresolvedMention">
    <w:name w:val="Unresolved Mention"/>
    <w:basedOn w:val="DefaultParagraphFont"/>
    <w:uiPriority w:val="99"/>
    <w:semiHidden/>
    <w:unhideWhenUsed/>
    <w:rsid w:val="006550C4"/>
    <w:rPr>
      <w:color w:val="605E5C"/>
      <w:shd w:val="clear" w:color="auto" w:fill="E1DFDD"/>
    </w:rPr>
  </w:style>
  <w:style w:type="paragraph" w:styleId="NormalWeb">
    <w:name w:val="Normal (Web)"/>
    <w:basedOn w:val="Normal"/>
    <w:uiPriority w:val="99"/>
    <w:unhideWhenUsed/>
    <w:rsid w:val="006550C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A1E52"/>
    <w:pPr>
      <w:tabs>
        <w:tab w:val="center" w:pos="4513"/>
        <w:tab w:val="right" w:pos="9026"/>
      </w:tabs>
    </w:pPr>
  </w:style>
  <w:style w:type="character" w:customStyle="1" w:styleId="HeaderChar">
    <w:name w:val="Header Char"/>
    <w:basedOn w:val="DefaultParagraphFont"/>
    <w:link w:val="Header"/>
    <w:uiPriority w:val="99"/>
    <w:rsid w:val="003A1E52"/>
  </w:style>
  <w:style w:type="paragraph" w:styleId="Footer">
    <w:name w:val="footer"/>
    <w:basedOn w:val="Normal"/>
    <w:link w:val="FooterChar"/>
    <w:uiPriority w:val="99"/>
    <w:unhideWhenUsed/>
    <w:rsid w:val="003A1E52"/>
    <w:pPr>
      <w:tabs>
        <w:tab w:val="center" w:pos="4513"/>
        <w:tab w:val="right" w:pos="9026"/>
      </w:tabs>
    </w:pPr>
  </w:style>
  <w:style w:type="character" w:customStyle="1" w:styleId="FooterChar">
    <w:name w:val="Footer Char"/>
    <w:basedOn w:val="DefaultParagraphFont"/>
    <w:link w:val="Footer"/>
    <w:uiPriority w:val="99"/>
    <w:rsid w:val="003A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2926">
      <w:bodyDiv w:val="1"/>
      <w:marLeft w:val="0"/>
      <w:marRight w:val="0"/>
      <w:marTop w:val="0"/>
      <w:marBottom w:val="0"/>
      <w:divBdr>
        <w:top w:val="none" w:sz="0" w:space="0" w:color="auto"/>
        <w:left w:val="none" w:sz="0" w:space="0" w:color="auto"/>
        <w:bottom w:val="none" w:sz="0" w:space="0" w:color="auto"/>
        <w:right w:val="none" w:sz="0" w:space="0" w:color="auto"/>
      </w:divBdr>
    </w:div>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5457101">
      <w:bodyDiv w:val="1"/>
      <w:marLeft w:val="0"/>
      <w:marRight w:val="0"/>
      <w:marTop w:val="0"/>
      <w:marBottom w:val="0"/>
      <w:divBdr>
        <w:top w:val="none" w:sz="0" w:space="0" w:color="auto"/>
        <w:left w:val="none" w:sz="0" w:space="0" w:color="auto"/>
        <w:bottom w:val="none" w:sz="0" w:space="0" w:color="auto"/>
        <w:right w:val="none" w:sz="0" w:space="0" w:color="auto"/>
      </w:divBdr>
    </w:div>
    <w:div w:id="5321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8F73CB4D9A34CAFC9E0D6C228C82E" ma:contentTypeVersion="11" ma:contentTypeDescription="Create a new document." ma:contentTypeScope="" ma:versionID="c54e1252394e96c9ace0fe61712cabb6">
  <xsd:schema xmlns:xsd="http://www.w3.org/2001/XMLSchema" xmlns:xs="http://www.w3.org/2001/XMLSchema" xmlns:p="http://schemas.microsoft.com/office/2006/metadata/properties" xmlns:ns2="76d133c9-4629-44f2-a1a6-cc8b21acc9da" xmlns:ns3="7a8126df-e1eb-4064-9b97-43ecedf0fb39" targetNamespace="http://schemas.microsoft.com/office/2006/metadata/properties" ma:root="true" ma:fieldsID="35c49a042a95055dffef04e6303c6674" ns2:_="" ns3:_="">
    <xsd:import namespace="76d133c9-4629-44f2-a1a6-cc8b21acc9da"/>
    <xsd:import namespace="7a8126df-e1eb-4064-9b97-43ecedf0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33c9-4629-44f2-a1a6-cc8b21acc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26df-e1eb-4064-9b97-43ecedf0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d9eec-d8d0-45ad-9768-84dbc0aedc3b}" ma:internalName="TaxCatchAll" ma:showField="CatchAllData" ma:web="7a8126df-e1eb-4064-9b97-43ecedf0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133c9-4629-44f2-a1a6-cc8b21acc9da">
      <Terms xmlns="http://schemas.microsoft.com/office/infopath/2007/PartnerControls"/>
    </lcf76f155ced4ddcb4097134ff3c332f>
    <TaxCatchAll xmlns="7a8126df-e1eb-4064-9b97-43ecedf0fb39" xsi:nil="true"/>
  </documentManagement>
</p:properties>
</file>

<file path=customXml/itemProps1.xml><?xml version="1.0" encoding="utf-8"?>
<ds:datastoreItem xmlns:ds="http://schemas.openxmlformats.org/officeDocument/2006/customXml" ds:itemID="{C5C533FE-0AED-413A-94B6-64EB7E80AC38}">
  <ds:schemaRefs>
    <ds:schemaRef ds:uri="http://schemas.microsoft.com/sharepoint/v3/contenttype/forms"/>
  </ds:schemaRefs>
</ds:datastoreItem>
</file>

<file path=customXml/itemProps2.xml><?xml version="1.0" encoding="utf-8"?>
<ds:datastoreItem xmlns:ds="http://schemas.openxmlformats.org/officeDocument/2006/customXml" ds:itemID="{3C54012B-1305-4F4E-BE02-0CCE630ADCB6}"/>
</file>

<file path=customXml/itemProps3.xml><?xml version="1.0" encoding="utf-8"?>
<ds:datastoreItem xmlns:ds="http://schemas.openxmlformats.org/officeDocument/2006/customXml" ds:itemID="{608641AF-54C5-416B-AB80-41C45E82E1BE}">
  <ds:schemaRefs>
    <ds:schemaRef ds:uri="http://schemas.microsoft.com/office/2006/metadata/properties"/>
    <ds:schemaRef ds:uri="http://schemas.microsoft.com/office/infopath/2007/PartnerControls"/>
    <ds:schemaRef ds:uri="76d133c9-4629-44f2-a1a6-cc8b21acc9da"/>
    <ds:schemaRef ds:uri="7a8126df-e1eb-4064-9b97-43ecedf0fb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Flude</dc:creator>
  <cp:keywords/>
  <dc:description/>
  <cp:lastModifiedBy>Dylan Deep-Jones</cp:lastModifiedBy>
  <cp:revision>3</cp:revision>
  <dcterms:created xsi:type="dcterms:W3CDTF">2024-05-01T04:05:00Z</dcterms:created>
  <dcterms:modified xsi:type="dcterms:W3CDTF">2026-01-15T05:21:00Z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0x010100B388F73CB4D9A34CAFC9E0D6C228C82E</vt:lpwstr>
  </property>
  <property fmtid="{D5CDD505-2E9C-101B-9397-08002B2CF9AE}" pid="3" name="Order">
    <vt:r8>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